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B052A4" w:rsidRPr="00093204" w:rsidRDefault="00B052A4" w:rsidP="00B052A4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B052A4" w:rsidRPr="00420BEE" w:rsidTr="009F364D">
        <w:tc>
          <w:tcPr>
            <w:tcW w:w="5353" w:type="dxa"/>
          </w:tcPr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30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.20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г.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B052A4" w:rsidRPr="00093204" w:rsidRDefault="00B052A4" w:rsidP="009F364D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113B6D" w:rsidRPr="00B052A4" w:rsidRDefault="00113B6D" w:rsidP="00B5670F">
      <w:pPr>
        <w:spacing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052A4" w:rsidRPr="00B052A4" w:rsidRDefault="00B052A4" w:rsidP="00B052A4">
      <w:pPr>
        <w:spacing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51494F" w:rsidRPr="00B052A4" w:rsidRDefault="0099068F" w:rsidP="00B052A4">
      <w:pPr>
        <w:spacing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об использовании государственных символов</w:t>
      </w:r>
      <w:r w:rsidR="0051494F" w:rsidRPr="00B052A4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 xml:space="preserve"> в 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420BEE">
        <w:rPr>
          <w:rFonts w:cstheme="minorHAnsi"/>
          <w:color w:val="000000"/>
          <w:sz w:val="28"/>
          <w:szCs w:val="28"/>
          <w:lang w:val="ru-RU"/>
        </w:rPr>
        <w:t>о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им.Дадаева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</w:t>
      </w:r>
    </w:p>
    <w:p w:rsidR="0051494F" w:rsidRPr="00B052A4" w:rsidRDefault="0051494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1.1. Положение об использовании государственных символов в 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420BEE">
        <w:rPr>
          <w:rFonts w:cstheme="minorHAnsi"/>
          <w:color w:val="000000"/>
          <w:sz w:val="28"/>
          <w:szCs w:val="28"/>
          <w:lang w:val="ru-RU"/>
        </w:rPr>
        <w:t>о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С.Р,</w:t>
      </w:r>
      <w:r w:rsidRPr="00B052A4">
        <w:rPr>
          <w:rFonts w:cstheme="minorHAnsi"/>
          <w:color w:val="000000"/>
          <w:sz w:val="28"/>
          <w:szCs w:val="28"/>
          <w:lang w:val="ru-RU"/>
        </w:rPr>
        <w:t xml:space="preserve"> (далее – Положение) определяет порядок использования (установления, размещения) Государственного флага Российской Федерации, Государственного герба Российской Федерации, а также исполнения Государственного гимна Российской Федерации в </w:t>
      </w:r>
      <w:r w:rsidR="000F02AF" w:rsidRPr="00B052A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0F02AF" w:rsidRPr="00B052A4">
        <w:rPr>
          <w:rFonts w:cstheme="minorHAnsi"/>
          <w:color w:val="000000"/>
          <w:sz w:val="28"/>
          <w:szCs w:val="28"/>
          <w:lang w:val="ru-RU"/>
        </w:rPr>
        <w:t>о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им.Дадаева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</w:t>
      </w:r>
      <w:r w:rsidRPr="00B052A4">
        <w:rPr>
          <w:rFonts w:cstheme="minorHAnsi"/>
          <w:color w:val="000000"/>
          <w:sz w:val="28"/>
          <w:szCs w:val="28"/>
          <w:lang w:val="ru-RU"/>
        </w:rPr>
        <w:t>. (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B052A4">
        <w:rPr>
          <w:rFonts w:cstheme="minorHAnsi"/>
          <w:color w:val="000000"/>
          <w:sz w:val="28"/>
          <w:szCs w:val="28"/>
          <w:lang w:val="ru-RU"/>
        </w:rPr>
        <w:t>далее – образовательная организация).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1.2. Государственный флаг Российской Федерации (далее – Флаг) является официальным государственным символом Российской Федерации.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Флаг представляет собой прямоугольное полотнище из трех равновеликих горизонтальных полос: верхней – белого, средней – синего и нижней – красного цвета.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Отношение ширины флага к его длине 2:3.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Использование Флага с нарушением Федерального конституционного закона от 25.12.2000 № 1-ФКЗ «О Государственном флаге Российской Федерации», а также надругательство над Государственным флагом Российской Федерации влекут за собой ответственность в соответствии с законодательством РФ.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1.3. Государственный герб Российской Федерации (далее – Герб) является официальным государственным символом Российской Федерации.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Герб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– над ними – одной большой короной, соединенными лентой.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В правой лапе орла – скипетр, в левой – держава.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На груди орла, в красном щите, –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Воспроизведение Герба допускается без геральдического щита (в виде главной фигуры – двуглавого орла с атрибутами), а также в одноцветном варианте.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Использование Герба с нарушением Федерального конституционного закона от 25.12.2000 № 2-ФКЗ «О Государственном гербе Российской Федерации», а также надругательство над Государственным гербом Российской Федерации влечет за собой ответственность в соответствии с законодательством РФ.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1.4. Государственный гимн Российской Федерации (далее – Гимн) является официальным государственным символом Российской Федерации.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Гимн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B052A4">
        <w:rPr>
          <w:rFonts w:cstheme="minorHAnsi"/>
          <w:color w:val="000000"/>
          <w:sz w:val="28"/>
          <w:szCs w:val="28"/>
          <w:lang w:val="ru-RU"/>
        </w:rPr>
        <w:t>звуко</w:t>
      </w:r>
      <w:proofErr w:type="spellEnd"/>
      <w:r w:rsidRPr="00B052A4">
        <w:rPr>
          <w:rFonts w:cstheme="minorHAnsi"/>
          <w:color w:val="000000"/>
          <w:sz w:val="28"/>
          <w:szCs w:val="28"/>
          <w:lang w:val="ru-RU"/>
        </w:rPr>
        <w:t>- и видеозаписи, а также средства теле- и радиотрансляции.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Гимн должен исполняться в точном соответствии с музыкальной редакцией и текстом,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утвержденными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Федеральным конституционным законом от 25.12.2000 № 3-ФКЗ «О Государственном гимне Российской Федерации».</w:t>
      </w: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2. Использование Флага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2.1.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2.2. Флаг может быть поднят (установлен) во время торжественных мероприятий. Флаг поднимается (устанавливается) во время массовых мероприятий (в том числе спортивных и физкультурно-оздоровительных), проводимых образовательными организациями независимо от форм собственности.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2.3. Каждая учебная неделя начинается с торжественной линейки, на которой происходит поднятие Флага и прослушивание Гимна. Конкретное время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начала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и продолжительность линейки устанавливается приказом директора образовательной организации.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2.4. Подъем Флага осуществляется по команде директора образовательной организации или ведущего мероприятия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 xml:space="preserve">при построении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и </w:t>
      </w: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администрации образовательной организации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в соответствии с Регламентом, изложенным в приложении 1 к Положению.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2.5.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организации, проявивших выдающиеся успехи в разных сферах деятельности.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2.6. Флаг поднимается на мачте (флагштоке). Мачта (флагшток) устанавливается, как правило, вблизи здания образовательной организации или в помещении образовательной организации в месте, обеспечивающем лучшую видимость Флага и возможность построения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и административного персонала.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2.7. Полотнище Флага имеет длину ___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м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и ширину ___ м.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2.8. Спуск Флага производится знаменной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группы, назначаемой руководителем образовательной организации, при участии работников образовательной организации и обучающихся, которым будет доверено поднять Государственный флаг Российской Федерации в начале следующей недели. Спуск производится в соответствии с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Регламентом, изложенным в приложении 1 к Положению в конце рабочего дня или в конце учебной недели в часы, установленные приказом руководителя образовательной организации.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2.9. После спуска Флаг доставляется в комнату его хранения. При необходимости принимаются меры по его сушке и чистке.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2.10.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состоянием Флага еженедельно осуществляет работник, назначенный приказом директора образовательной организации (ответственный за хранение Флага). Результаты еженедельного осмотра заносятся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__________________________________________________________________.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2.11. В случае повреждения Флаг должен быть немедленно заменен запасным.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2.12.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человек: руководителя и трех ассистентов, в соответствии с Регламентом, изложенным в приложении 2 к Положению. Персональный состав знаменной группы устанавливает директор образовательной организации или его заместитель.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2.13. В дни траура в верхней части древка Флага крепится черная лента, длина которой равна длине полотнища Флага. Флаг, поднятый на мачте (флагштоке), приспускается до половины высоты мачты (флагштока).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2.14.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При одновременном подъеме (размещении) Флага и флага субъекта РФ, муниципального образования, общественного объединения или организации Флаг располагается с левой стороны от другого флага, если стоять к ним лицом; при одновременном подъеме (размещении) нечетного числа флагов Флаг располагается в центре, а при подъеме (размещении) четного числа флагов (но более двух) – левее центра.</w:t>
      </w:r>
      <w:proofErr w:type="gramEnd"/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2.15. При одновременном подъеме (размещении) Флага и других флагов размер флага субъекта РФ, муниципального образования, общественного </w:t>
      </w: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объединения либо предприятия, учреждения или организации не может превышать размер Флага, а высота подъема Флага не может быть меньше высоты подъема других флагов.</w:t>
      </w:r>
    </w:p>
    <w:p w:rsidR="0051494F" w:rsidRPr="00B052A4" w:rsidRDefault="0051494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51494F" w:rsidRPr="00B052A4" w:rsidRDefault="0051494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3. Использование Гимна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3.1. Текст Гимна размещается в помещениях (части помещений), отведенных для экспозиции, посвященной государственной символике. Такие помещения (части помещений) должны быть эстетично оформлены и размещены вдали от хозяйственно-бытовых комнат, прохода и гардероба.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3.2. Официальным является исполнение Гимна в тех случаях, когда он выполняет свою знаковую функцию: обозначает российское государство, государственное присутствие, событие общероссийской важности или государственного значения. Официальными случаями исполнения являются все случаи, описанные в Федеральном конституционном законе от 25.12.2000 № 3-ФКЗ «О Государственном гимне Российской Федерации», а также иные случаи исполнения Гимна в церемониальных ситуациях, на официальных и массовых мероприятиях, в значимых общественных и частных случаях.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</w:rPr>
      </w:pPr>
      <w:r w:rsidRPr="00B052A4">
        <w:rPr>
          <w:rFonts w:cstheme="minorHAnsi"/>
          <w:color w:val="000000"/>
          <w:sz w:val="28"/>
          <w:szCs w:val="28"/>
        </w:rPr>
        <w:t>3.3. Гимн исполняется:</w:t>
      </w:r>
    </w:p>
    <w:p w:rsidR="00AB70F6" w:rsidRPr="00B052A4" w:rsidRDefault="0099068F" w:rsidP="00B052A4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во время официальной церемонии подъема Флага и других официальных церемоний;</w:t>
      </w:r>
    </w:p>
    <w:p w:rsidR="00AB70F6" w:rsidRPr="00B052A4" w:rsidRDefault="0099068F" w:rsidP="00B052A4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при открытии памятников и памятных знаков, установленных по решению государственных органов и органов местного самоуправления;</w:t>
      </w:r>
    </w:p>
    <w:p w:rsidR="00AB70F6" w:rsidRPr="00B052A4" w:rsidRDefault="0099068F" w:rsidP="00B052A4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при открытии и закрытии торжественных собраний, посвященных государственным и муниципальным праздникам;</w:t>
      </w:r>
    </w:p>
    <w:p w:rsidR="00AB70F6" w:rsidRPr="00B052A4" w:rsidRDefault="0099068F" w:rsidP="00B052A4">
      <w:pPr>
        <w:numPr>
          <w:ilvl w:val="0"/>
          <w:numId w:val="1"/>
        </w:numPr>
        <w:spacing w:line="360" w:lineRule="auto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в общеобразовательных организациях независимо от форм собственности – перед первым уроком (занятием) в день начала нового учебного года, а также во время проводимых торжественных мероприятий, посвященных государственным и муниципальным праздникам.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Гимн может исполняться в иных случаях во время торжественных мероприятий.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3.4. При официальном исполнении Гимна присутствующие выслушивают его стоя. Данное требование не распространяется на лиц, не способных встать или испытывающих затруднения при вставании и стоянии вследствие состояния здоровья: пожилых людей, инвалидов, больных и травмированных, а также детей раннего возраста.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3.5. При официальном исполнении Гимна мужчины должны находиться без головных уборов. Данное требование имеет ряд исключений, основанных на традициях и правах личных свобод граждан. Например, не обнажают головы те, кто имеет специальный головной убор, ношение которого вызвано состоянием здоровья.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Допускается не обнажать голову при нахождении в исключительно неблагоприятных погодных, природных или технических условиях, когда обнажение головы на время исполнения гимна действительно способно привести к потере здоровья, травме или создать угрозу жизни.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Допускается не обнажать голову лицам, религиозные убеждения которых рассматривают обнажение головы как акт неуважения и (или) унижения.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3.6. При официальном исполнении Гимна следует соблюдать тишину и сократить передвижения и перемещения до предельно возможного минимума. Гимн следует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выслушать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молча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либо подпевая исполнению.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3.7. Если исполнение Гимна сопровождается поднятием Флага, присутствующие поворачиваются лицом к поднимаемому Флагу.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3.8. При исполнении Гимна со словами исполняется весь Гимн целиком (три куплета с повторением припева после каждого куплета). В исключительных случаях возможно исполнение гимна со словами в составе только первого куплета и припева.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3.9. При исполнении Гимна без слов исполняются вступление, куплет и припев. Троекратное исполнение куплетов и припевов при исполнении Гимна без слов не применяется.</w:t>
      </w:r>
    </w:p>
    <w:p w:rsidR="0099068F" w:rsidRPr="00B052A4" w:rsidRDefault="0099068F" w:rsidP="00B052A4">
      <w:pPr>
        <w:spacing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>4. Использование Герба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4.1. Допускается использование Герба, в том числе его изображения, если такое использование не является надругательством над Гербом.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4.2. В образовательной организации Герб размещается в помещениях (части помещений), отведенных для экспозиции, посвященной государственной символике. Такие помещения должны быть эстетично оформлены и размещены вдали от хозяйственно-бытовых комнат, прохода и гардероба.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4.3. При одновременном размещении Герба и герба (геральдического знака) субъекта РФ, муниципального образования, общественного объединения либо предприятия, учреждения или организации Герб располагается с левой стороны от другого герба (геральдического знака), если стоять к ним лицом; при одновременном размещении нечетного числа гербов (геральдических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 xml:space="preserve">знаков) 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>Герб располагается в центре, а при размещении четного числа гербов (но более двух) – левее центра.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4.4. При одновременном размещении Герба и других гербов (геральдических знаков) размер герба (геральдического знака) субъекта </w:t>
      </w: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РФ, муниципального образования, общественного объединения либо организации не может превышать размер Герба, при этом Герб не может быть размещен ниже других гербов (геральдических знаков).</w:t>
      </w:r>
    </w:p>
    <w:p w:rsidR="00AB70F6" w:rsidRPr="00B052A4" w:rsidRDefault="00AB70F6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B052A4" w:rsidRPr="00B052A4" w:rsidRDefault="00B052A4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1 к Положению об использовании</w:t>
      </w:r>
      <w:r w:rsidRPr="00B052A4">
        <w:rPr>
          <w:rFonts w:cstheme="minorHAnsi"/>
          <w:sz w:val="28"/>
          <w:szCs w:val="28"/>
          <w:lang w:val="ru-RU"/>
        </w:rPr>
        <w:br/>
      </w:r>
      <w:r w:rsidRPr="00B052A4">
        <w:rPr>
          <w:rFonts w:cstheme="minorHAnsi"/>
          <w:color w:val="000000"/>
          <w:sz w:val="28"/>
          <w:szCs w:val="28"/>
          <w:lang w:val="ru-RU"/>
        </w:rPr>
        <w:t>государственных символов</w:t>
      </w:r>
      <w:r w:rsidRPr="00B052A4">
        <w:rPr>
          <w:rFonts w:cstheme="minorHAnsi"/>
          <w:sz w:val="28"/>
          <w:szCs w:val="28"/>
          <w:lang w:val="ru-RU"/>
        </w:rPr>
        <w:br/>
      </w:r>
      <w:r w:rsidRPr="00B052A4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420BEE">
        <w:rPr>
          <w:rFonts w:cstheme="minorHAnsi"/>
          <w:color w:val="000000"/>
          <w:sz w:val="28"/>
          <w:szCs w:val="28"/>
          <w:lang w:val="ru-RU"/>
        </w:rPr>
        <w:t>о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С.Р.</w:t>
      </w:r>
    </w:p>
    <w:p w:rsidR="00AB70F6" w:rsidRPr="00B052A4" w:rsidRDefault="00AB70F6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 xml:space="preserve">Регламент подъема и спуска Государственного флага Российской Федерации в 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420BEE">
        <w:rPr>
          <w:rFonts w:cstheme="minorHAnsi"/>
          <w:color w:val="000000"/>
          <w:sz w:val="28"/>
          <w:szCs w:val="28"/>
          <w:lang w:val="ru-RU"/>
        </w:rPr>
        <w:t>о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1.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 xml:space="preserve">Место проведения церемонии </w:t>
      </w:r>
      <w:r w:rsidRPr="00B052A4">
        <w:rPr>
          <w:rFonts w:cstheme="minorHAnsi"/>
          <w:bCs/>
          <w:color w:val="000000"/>
          <w:sz w:val="28"/>
          <w:szCs w:val="28"/>
          <w:lang w:val="ru-RU"/>
        </w:rPr>
        <w:t>п</w:t>
      </w:r>
      <w:r w:rsidRPr="00B052A4">
        <w:rPr>
          <w:rFonts w:cstheme="minorHAnsi"/>
          <w:color w:val="000000"/>
          <w:sz w:val="28"/>
          <w:szCs w:val="28"/>
          <w:lang w:val="ru-RU"/>
        </w:rPr>
        <w:t>одъема и спуска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–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площадка перед образовательной организацией, актовый зал, спортивный зал, холл и др. –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 xml:space="preserve">определяется климатическими и широтными условиями, конструктивными особенностями здания, и спецификой образовательной организации.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В осенне-зимний период рекомендовано проведение церемонии в помещении, в весенне-летний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–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на открытой площадке.</w:t>
      </w:r>
      <w:proofErr w:type="gramEnd"/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В церемонии могут участвовать обучающиеся образовательной организации, представители совета обучающихся и совета родителей, представители работников образовательной организации.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В дни государственных праздников в церемонии могут принимать участие приглашенные гости.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 Руководитель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образовательной организации вправе определять категорию участников церемонии самостоятельно (например, учащиеся одной параллели классов).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4. Учитель информирует классы (группы), не принимающие участие в церемонии, о составе знаменной группы, оглашает календарь памятных дат общегосударственного и локального значения на неделю – на первом уроке в день проведения церемонии. Рекомендуется исполнение краткой версии (куплет и припев) Гимна одновременно с участниками церемонии по стойке «Смирно».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5. В церемониях, посвященных государственным праздникам и памятным дням истории, по возможности проводится общее торжественное построение образовательной организации.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6. Церемонией руководит ответственное лицо, определенное руководителем образовательной организации (далее –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руководитель церемонии).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7. Построение на церемонию осуществляется с учетом конструктивных особенностей места проведения церемонии.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8. Для проведения церемонии формируется знаменная группа (знаменосец и ассистенты). При поднятии Флага на мачту (флагшток) назначается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четыре ассистента, при использовании флага на древке –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два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ассистента.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9. В знаменную группу входят учащиеся, имеющие учебные, спортивные, творческие и общественно значимые достижения. Также могут включаться работники образовательной организации и родители (законные представители)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>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10. Перед началом церемонии знаменной группе выдается Флаг для подготовки к церемонии выноса и подъема Флага.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11. Руководитель церемонии оглашает ее участникам, кому и почему предоставлено право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нести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(поднимать) Флаг.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12. В начале церемонии руководитель церемонии дает команду для построения «Внимание! Под Государственный флаг Российской Федерации – смирно! Флаг внести!».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13. Знаменная группа выносит Флаг. Образовательная организация вправе сопроводить вынос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маршем. Важно выдержать «шаг в ногу» знаменной группы.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14. Знаменная группа останавливается у флагштока (при использовании флага на древке у места установки флага), разворачивается по команде «направо» и встает по стойке смирно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лицом к участникам церемонии.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15. Руководитель церемонии озвучивает команду «Флаг поднять» (если флаг поднимают на флагшток) или команду «Флаг установить» (если флаг устанавливают на особую подставку).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16. Флаг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прикрепляется к мачте (флагштоку) и быстро поднимается. При использовании Флага на древке он устанавливается в особую подставку. Древко не должно касаться поверхности.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Поднятие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сопровождается исполнением Гимна. При этом все присутствующие на церемонии стоят по стойке смирно.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17. После поднятия Флага (или установки его на особую подставку) знаменная группа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встает по стойке смирно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лицом к участникам церемонии.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18. По завершении процедуры поднятия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руководитель церемонии произносит команду «вольно!».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19. Церемония может продолжиться информационным блоком. Например, может оглашаться календарь памятных дат общегосударственного и локального значения на неделю. В торжественных случаях церемония может включать исполнение художественных и литературных произведений, выступления приглашенных гостей и т.д.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20. После завершения церемонии дается команда «налево» и все участники последовательно, вслед за руководителем церемонии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покидают место проведения церемонии.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21. Церемония спуска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осуществляется в конце каждой учебной недели по окончании последнего учебного занятия (урока).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22. В церемонии спуска Флага участвуют знаменная группа, работники образовательной организации. Также в церемонии могут принять участие те лица, которым будет доверено поднять Флаг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в начале следующей недели.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23. Руководитель церемонии дает команду о готовности к спуску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«внимание! Флаг спустить».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24. Знаменосец приступает к медленному спуску Флага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(или его выносу, если Флаг на древке).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25. Знаменная группа выносит Флаг маршем «нога в ногу» и передает его дежурному для доставки в место хранения.</w:t>
      </w:r>
    </w:p>
    <w:p w:rsidR="0099068F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052A4" w:rsidRDefault="00B052A4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2 к Положению об использовании</w:t>
      </w:r>
      <w:r w:rsidRPr="00B052A4">
        <w:rPr>
          <w:rFonts w:cstheme="minorHAnsi"/>
          <w:sz w:val="28"/>
          <w:szCs w:val="28"/>
          <w:lang w:val="ru-RU"/>
        </w:rPr>
        <w:br/>
      </w:r>
      <w:r w:rsidRPr="00B052A4">
        <w:rPr>
          <w:rFonts w:cstheme="minorHAnsi"/>
          <w:color w:val="000000"/>
          <w:sz w:val="28"/>
          <w:szCs w:val="28"/>
          <w:lang w:val="ru-RU"/>
        </w:rPr>
        <w:t>государственных символов</w:t>
      </w:r>
      <w:r w:rsidRPr="00B052A4">
        <w:rPr>
          <w:rFonts w:cstheme="minorHAnsi"/>
          <w:sz w:val="28"/>
          <w:szCs w:val="28"/>
          <w:lang w:val="ru-RU"/>
        </w:rPr>
        <w:br/>
      </w:r>
      <w:r w:rsidRPr="00B052A4">
        <w:rPr>
          <w:rFonts w:cstheme="minorHAnsi"/>
          <w:color w:val="000000"/>
          <w:sz w:val="28"/>
          <w:szCs w:val="28"/>
          <w:lang w:val="ru-RU"/>
        </w:rPr>
        <w:t>в МБОУ «</w:t>
      </w:r>
      <w:proofErr w:type="spellStart"/>
      <w:r w:rsidRPr="00B052A4">
        <w:rPr>
          <w:rFonts w:cstheme="minorHAnsi"/>
          <w:color w:val="000000"/>
          <w:sz w:val="28"/>
          <w:szCs w:val="28"/>
          <w:lang w:val="ru-RU"/>
        </w:rPr>
        <w:t>Аллер</w:t>
      </w:r>
      <w:r w:rsidR="00420BEE">
        <w:rPr>
          <w:rFonts w:cstheme="minorHAnsi"/>
          <w:color w:val="000000"/>
          <w:sz w:val="28"/>
          <w:szCs w:val="28"/>
          <w:lang w:val="ru-RU"/>
        </w:rPr>
        <w:t>о</w:t>
      </w:r>
      <w:r w:rsidRPr="00B052A4">
        <w:rPr>
          <w:rFonts w:cstheme="minorHAnsi"/>
          <w:color w:val="000000"/>
          <w:sz w:val="28"/>
          <w:szCs w:val="28"/>
          <w:lang w:val="ru-RU"/>
        </w:rPr>
        <w:t>евская</w:t>
      </w:r>
      <w:proofErr w:type="spell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Pr="00B052A4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>адаева</w:t>
      </w:r>
      <w:proofErr w:type="spell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С.Р.</w:t>
      </w:r>
    </w:p>
    <w:p w:rsidR="00AB70F6" w:rsidRPr="00B052A4" w:rsidRDefault="00AB70F6" w:rsidP="00B052A4">
      <w:pPr>
        <w:spacing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B70F6" w:rsidRPr="00B052A4" w:rsidRDefault="0099068F" w:rsidP="00B052A4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bCs/>
          <w:color w:val="000000"/>
          <w:sz w:val="28"/>
          <w:szCs w:val="28"/>
          <w:lang w:val="ru-RU"/>
        </w:rPr>
        <w:t xml:space="preserve">Регламент вноса и выноса Государственного флага Российской Федерации в </w:t>
      </w:r>
      <w:r w:rsidR="00420BEE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="00420BEE">
        <w:rPr>
          <w:rFonts w:cstheme="minorHAnsi"/>
          <w:color w:val="000000"/>
          <w:sz w:val="28"/>
          <w:szCs w:val="28"/>
          <w:lang w:val="ru-RU"/>
        </w:rPr>
        <w:t>Аллерое</w:t>
      </w:r>
      <w:r w:rsidR="00B5670F" w:rsidRPr="00B052A4">
        <w:rPr>
          <w:rFonts w:cstheme="minorHAnsi"/>
          <w:color w:val="000000"/>
          <w:sz w:val="28"/>
          <w:szCs w:val="28"/>
          <w:lang w:val="ru-RU"/>
        </w:rPr>
        <w:t>вская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СШ» </w:t>
      </w:r>
      <w:proofErr w:type="spell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="00B5670F" w:rsidRPr="00B052A4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="00B5670F" w:rsidRPr="00B052A4">
        <w:rPr>
          <w:rFonts w:cstheme="minorHAnsi"/>
          <w:color w:val="000000"/>
          <w:sz w:val="28"/>
          <w:szCs w:val="28"/>
          <w:lang w:val="ru-RU"/>
        </w:rPr>
        <w:t>адаева</w:t>
      </w:r>
      <w:proofErr w:type="spellEnd"/>
      <w:r w:rsidR="00B5670F" w:rsidRPr="00B052A4">
        <w:rPr>
          <w:rFonts w:cstheme="minorHAnsi"/>
          <w:color w:val="000000"/>
          <w:sz w:val="28"/>
          <w:szCs w:val="28"/>
          <w:lang w:val="ru-RU"/>
        </w:rPr>
        <w:t xml:space="preserve"> С.Р.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1. Руководитель знаменной группы принимает Флаг от ответственного за хранение Флага.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2. Знаменная группа несет Флаг к месту проведения мероприятия.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3. Знаменная группа выстраивается в две колонны по два человека – каждый держит угол флага. Руководитель знаменной группы держит передний правый край полотнища.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4. Перед вносом Флага директор образовательной организации или ведущий мероприятия объявляет присутствующим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: «___________________________________________________».</w:t>
      </w:r>
      <w:proofErr w:type="gramEnd"/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5.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Знаменная группа вносит Флаг так, чтобы для большей части присутствующих он выглядел развернутым с расположением горизонтальных полос: верхней – белого, средней – синего и нижней – красного цвета.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Оркестр исполняет Гимн. В ином случае Гимн исполняется с использованием технических средств воспроизведения звукозаписи.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>6. Знаменная группа останавливается перед присутствующими так, чтобы быть максимально в центре или посередине перед присутствующими,</w:t>
      </w:r>
      <w:r w:rsidRPr="00B052A4">
        <w:rPr>
          <w:rFonts w:cstheme="minorHAnsi"/>
          <w:color w:val="000000"/>
          <w:sz w:val="28"/>
          <w:szCs w:val="28"/>
        </w:rPr>
        <w:t> </w:t>
      </w:r>
      <w:r w:rsidRPr="00B052A4">
        <w:rPr>
          <w:rFonts w:cstheme="minorHAnsi"/>
          <w:color w:val="000000"/>
          <w:sz w:val="28"/>
          <w:szCs w:val="28"/>
          <w:lang w:val="ru-RU"/>
        </w:rPr>
        <w:t>либо перед директором образовательной организации.</w:t>
      </w:r>
    </w:p>
    <w:p w:rsidR="00AB70F6" w:rsidRPr="00B052A4" w:rsidRDefault="0099068F" w:rsidP="00B052A4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7. Знаменная группа уносит Флаг после окончания исполнения Гимна или после окончания мероприятия, если оно было непродолжительным. В </w:t>
      </w:r>
      <w:r w:rsidRPr="00B052A4">
        <w:rPr>
          <w:rFonts w:cstheme="minorHAnsi"/>
          <w:color w:val="000000"/>
          <w:sz w:val="28"/>
          <w:szCs w:val="28"/>
          <w:lang w:val="ru-RU"/>
        </w:rPr>
        <w:lastRenderedPageBreak/>
        <w:t>последнем случае перед началом выноса Флага директор образовательной организации или ведущий мероприятия объявляет присутствующим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 xml:space="preserve">: «___________________________________________________». 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>Вынос Флага может сопровождаться исполнением Гимна или быть без такового.</w:t>
      </w:r>
    </w:p>
    <w:p w:rsidR="00AB70F6" w:rsidRPr="00B5670F" w:rsidRDefault="0099068F" w:rsidP="00B052A4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2A4">
        <w:rPr>
          <w:rFonts w:cstheme="minorHAnsi"/>
          <w:color w:val="000000"/>
          <w:sz w:val="28"/>
          <w:szCs w:val="28"/>
          <w:lang w:val="ru-RU"/>
        </w:rPr>
        <w:t xml:space="preserve">8. После окончания церемонии руководитель знаменной группы отдает Флаг </w:t>
      </w:r>
      <w:proofErr w:type="gramStart"/>
      <w:r w:rsidRPr="00B052A4">
        <w:rPr>
          <w:rFonts w:cstheme="minorHAnsi"/>
          <w:color w:val="000000"/>
          <w:sz w:val="28"/>
          <w:szCs w:val="28"/>
          <w:lang w:val="ru-RU"/>
        </w:rPr>
        <w:t>ответственному</w:t>
      </w:r>
      <w:proofErr w:type="gramEnd"/>
      <w:r w:rsidRPr="00B052A4">
        <w:rPr>
          <w:rFonts w:cstheme="minorHAnsi"/>
          <w:color w:val="000000"/>
          <w:sz w:val="28"/>
          <w:szCs w:val="28"/>
          <w:lang w:val="ru-RU"/>
        </w:rPr>
        <w:t xml:space="preserve"> за хранение Ф</w:t>
      </w:r>
      <w:r w:rsidRPr="00B5670F">
        <w:rPr>
          <w:rFonts w:hAnsi="Times New Roman" w:cs="Times New Roman"/>
          <w:color w:val="000000"/>
          <w:sz w:val="24"/>
          <w:szCs w:val="24"/>
          <w:lang w:val="ru-RU"/>
        </w:rPr>
        <w:t>лага.</w:t>
      </w:r>
    </w:p>
    <w:sectPr w:rsidR="00AB70F6" w:rsidRPr="00B5670F" w:rsidSect="0099068F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D3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02AF"/>
    <w:rsid w:val="00113B6D"/>
    <w:rsid w:val="00122EB1"/>
    <w:rsid w:val="002D33B1"/>
    <w:rsid w:val="002D3591"/>
    <w:rsid w:val="003514A0"/>
    <w:rsid w:val="00420BEE"/>
    <w:rsid w:val="004F7E17"/>
    <w:rsid w:val="0051494F"/>
    <w:rsid w:val="005A05CE"/>
    <w:rsid w:val="00653AF6"/>
    <w:rsid w:val="00912C5F"/>
    <w:rsid w:val="009360CE"/>
    <w:rsid w:val="0099068F"/>
    <w:rsid w:val="00AB70F6"/>
    <w:rsid w:val="00B052A4"/>
    <w:rsid w:val="00B5670F"/>
    <w:rsid w:val="00B73A5A"/>
    <w:rsid w:val="00C5605F"/>
    <w:rsid w:val="00E438A1"/>
    <w:rsid w:val="00EA067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description>Подготовлено экспертами Актион-МЦФЭР</dc:description>
  <cp:lastModifiedBy>shkoladirektor</cp:lastModifiedBy>
  <cp:revision>3</cp:revision>
  <dcterms:created xsi:type="dcterms:W3CDTF">2022-09-19T08:26:00Z</dcterms:created>
  <dcterms:modified xsi:type="dcterms:W3CDTF">2022-09-19T09:02:00Z</dcterms:modified>
</cp:coreProperties>
</file>